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9F1C" w14:textId="77777777" w:rsidR="0052077D" w:rsidRDefault="0052077D"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77777777"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w:t>
      </w:r>
      <w:proofErr w:type="spellStart"/>
      <w:r w:rsidRPr="00C94F9F">
        <w:rPr>
          <w:rFonts w:cstheme="minorHAnsi"/>
          <w:sz w:val="20"/>
          <w:szCs w:val="20"/>
        </w:rPr>
        <w:t>techniczno</w:t>
      </w:r>
      <w:proofErr w:type="spellEnd"/>
      <w:r w:rsidRPr="00C94F9F">
        <w:rPr>
          <w:rFonts w:cstheme="minorHAnsi"/>
          <w:sz w:val="20"/>
          <w:szCs w:val="20"/>
        </w:rPr>
        <w:t xml:space="preserve">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C94F9F">
        <w:rPr>
          <w:rFonts w:cstheme="minorHAnsi"/>
          <w:sz w:val="20"/>
          <w:szCs w:val="20"/>
        </w:rPr>
        <w:t>t.j</w:t>
      </w:r>
      <w:proofErr w:type="spellEnd"/>
      <w:r w:rsidRPr="00C94F9F">
        <w:rPr>
          <w:rFonts w:cstheme="minorHAnsi"/>
          <w:sz w:val="20"/>
          <w:szCs w:val="20"/>
        </w:rPr>
        <w:t xml:space="preserve">.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 xml:space="preserve">1040 z </w:t>
      </w:r>
      <w:proofErr w:type="spellStart"/>
      <w:r w:rsidR="00AC22AA">
        <w:rPr>
          <w:rFonts w:cstheme="minorHAnsi"/>
          <w:sz w:val="20"/>
          <w:szCs w:val="20"/>
        </w:rPr>
        <w:t>późn</w:t>
      </w:r>
      <w:proofErr w:type="spellEnd"/>
      <w:r w:rsidR="00AC22AA">
        <w:rPr>
          <w:rFonts w:cstheme="minorHAnsi"/>
          <w:sz w:val="20"/>
          <w:szCs w:val="20"/>
        </w:rPr>
        <w:t>.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w:t>
      </w:r>
      <w:proofErr w:type="spellStart"/>
      <w:r w:rsidRPr="00C94F9F">
        <w:rPr>
          <w:rFonts w:cstheme="minorHAnsi"/>
          <w:sz w:val="20"/>
          <w:szCs w:val="20"/>
        </w:rPr>
        <w:t>t.j</w:t>
      </w:r>
      <w:proofErr w:type="spellEnd"/>
      <w:r w:rsidRPr="00C94F9F">
        <w:rPr>
          <w:rFonts w:cstheme="minorHAnsi"/>
          <w:sz w:val="20"/>
          <w:szCs w:val="20"/>
        </w:rPr>
        <w:t>.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xml:space="preserve">) winny być </w:t>
      </w:r>
      <w:proofErr w:type="spellStart"/>
      <w:r w:rsidRPr="00C94F9F">
        <w:rPr>
          <w:rFonts w:cstheme="minorHAnsi"/>
          <w:sz w:val="20"/>
          <w:szCs w:val="20"/>
        </w:rPr>
        <w:t>zanominizowane</w:t>
      </w:r>
      <w:proofErr w:type="spellEnd"/>
      <w:r w:rsidRPr="00C94F9F">
        <w:rPr>
          <w:rFonts w:cstheme="minorHAnsi"/>
          <w:sz w:val="20"/>
          <w:szCs w:val="20"/>
        </w:rPr>
        <w:t>.</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F08C" w14:textId="77777777" w:rsidR="00161342" w:rsidRDefault="00161342">
      <w:pPr>
        <w:spacing w:after="0" w:line="240" w:lineRule="auto"/>
      </w:pPr>
      <w:r>
        <w:separator/>
      </w:r>
    </w:p>
  </w:endnote>
  <w:endnote w:type="continuationSeparator" w:id="0">
    <w:p w14:paraId="47BC5F39" w14:textId="77777777" w:rsidR="00161342" w:rsidRDefault="0016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D1D" w14:textId="77777777" w:rsidR="00161342" w:rsidRDefault="00161342">
      <w:pPr>
        <w:spacing w:after="0" w:line="240" w:lineRule="auto"/>
      </w:pPr>
      <w:r>
        <w:separator/>
      </w:r>
    </w:p>
  </w:footnote>
  <w:footnote w:type="continuationSeparator" w:id="0">
    <w:p w14:paraId="5FE82EDF" w14:textId="77777777" w:rsidR="00161342" w:rsidRDefault="0016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712E"/>
    <w:rsid w:val="000829AB"/>
    <w:rsid w:val="00084390"/>
    <w:rsid w:val="000B3AC2"/>
    <w:rsid w:val="000B3B7A"/>
    <w:rsid w:val="000C04AF"/>
    <w:rsid w:val="000C7DEB"/>
    <w:rsid w:val="00113CFD"/>
    <w:rsid w:val="00161342"/>
    <w:rsid w:val="00166CD2"/>
    <w:rsid w:val="001677C3"/>
    <w:rsid w:val="00175C67"/>
    <w:rsid w:val="001B28DB"/>
    <w:rsid w:val="001F1630"/>
    <w:rsid w:val="001F6D1E"/>
    <w:rsid w:val="002336CD"/>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077D"/>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5560"/>
    <w:rsid w:val="006F0281"/>
    <w:rsid w:val="006F265B"/>
    <w:rsid w:val="006F68CF"/>
    <w:rsid w:val="00764465"/>
    <w:rsid w:val="00774DD0"/>
    <w:rsid w:val="007A5FD6"/>
    <w:rsid w:val="007B0161"/>
    <w:rsid w:val="007D52C8"/>
    <w:rsid w:val="007E0726"/>
    <w:rsid w:val="007F3648"/>
    <w:rsid w:val="00825637"/>
    <w:rsid w:val="00882790"/>
    <w:rsid w:val="008A6AE8"/>
    <w:rsid w:val="008D7135"/>
    <w:rsid w:val="008D742D"/>
    <w:rsid w:val="00905623"/>
    <w:rsid w:val="00910218"/>
    <w:rsid w:val="00911B0F"/>
    <w:rsid w:val="00913E00"/>
    <w:rsid w:val="00927D88"/>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DC2A-1EB3-4E9E-A907-6FC1F82A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9365</Words>
  <Characters>56194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3</cp:revision>
  <cp:lastPrinted>2020-05-18T09:11:00Z</cp:lastPrinted>
  <dcterms:created xsi:type="dcterms:W3CDTF">2020-05-15T07:55:00Z</dcterms:created>
  <dcterms:modified xsi:type="dcterms:W3CDTF">2020-05-18T09:29:00Z</dcterms:modified>
</cp:coreProperties>
</file>